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2408" w:type="dxa"/>
        <w:tblInd w:w="65" w:type="dxa"/>
        <w:tblCellMar>
          <w:left w:w="70" w:type="dxa"/>
          <w:right w:w="70" w:type="dxa"/>
        </w:tblCellMar>
        <w:tblLook w:val="04A0"/>
      </w:tblPr>
      <w:tblGrid>
        <w:gridCol w:w="2397"/>
        <w:gridCol w:w="196"/>
        <w:gridCol w:w="196"/>
        <w:gridCol w:w="196"/>
        <w:gridCol w:w="196"/>
        <w:gridCol w:w="3184"/>
        <w:gridCol w:w="3176"/>
        <w:gridCol w:w="3099"/>
      </w:tblGrid>
      <w:tr w:rsidR="00EA5775" w:rsidRPr="00EA5775" w:rsidTr="00645935">
        <w:trPr>
          <w:trHeight w:val="360"/>
        </w:trPr>
        <w:tc>
          <w:tcPr>
            <w:tcW w:w="12408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EA577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PREFEITURA MUNICIPAL DE LEBON RÉGIS - SC</w:t>
            </w:r>
          </w:p>
        </w:tc>
      </w:tr>
      <w:tr w:rsidR="00EA5775" w:rsidRPr="00EA5775" w:rsidTr="00645935">
        <w:trPr>
          <w:trHeight w:val="360"/>
        </w:trPr>
        <w:tc>
          <w:tcPr>
            <w:tcW w:w="1240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</w:pPr>
            <w:r w:rsidRPr="00EA5775">
              <w:rPr>
                <w:rFonts w:ascii="Arial" w:eastAsia="Times New Roman" w:hAnsi="Arial" w:cs="Arial"/>
                <w:b/>
                <w:bCs/>
                <w:sz w:val="28"/>
                <w:szCs w:val="28"/>
                <w:lang w:eastAsia="pt-BR"/>
              </w:rPr>
              <w:t>EVOLUÇÃO DO PATRIMÔNIO LÍQUIDO</w:t>
            </w:r>
          </w:p>
        </w:tc>
      </w:tr>
      <w:tr w:rsidR="00EA5775" w:rsidRPr="00EA5775" w:rsidTr="00645935">
        <w:trPr>
          <w:trHeight w:val="300"/>
        </w:trPr>
        <w:tc>
          <w:tcPr>
            <w:tcW w:w="12408" w:type="dxa"/>
            <w:gridSpan w:val="8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b/>
                <w:bCs/>
                <w:sz w:val="20"/>
                <w:szCs w:val="20"/>
                <w:lang w:eastAsia="pt-BR"/>
              </w:rPr>
              <w:t>(Art. 4º, § 2º, III da Lei Complementar nº. 101, de 04/05/2000)</w:t>
            </w:r>
          </w:p>
        </w:tc>
      </w:tr>
      <w:tr w:rsidR="00EA5775" w:rsidRPr="00EA5775" w:rsidTr="00645935">
        <w:trPr>
          <w:trHeight w:val="300"/>
        </w:trPr>
        <w:tc>
          <w:tcPr>
            <w:tcW w:w="2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  <w:r>
              <w:rPr>
                <w:rFonts w:ascii="Calibri" w:eastAsia="Times New Roman" w:hAnsi="Calibri" w:cs="Times New Roman"/>
                <w:noProof/>
                <w:color w:val="000000"/>
                <w:lang w:eastAsia="pt-BR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171450</wp:posOffset>
                  </wp:positionH>
                  <wp:positionV relativeFrom="paragraph">
                    <wp:posOffset>105410</wp:posOffset>
                  </wp:positionV>
                  <wp:extent cx="7644765" cy="414655"/>
                  <wp:effectExtent l="0" t="0" r="0" b="0"/>
                  <wp:wrapNone/>
                  <wp:docPr id="2" name="Text Box 5"/>
                  <wp:cNvGraphicFramePr/>
                  <a:graphic xmlns:a="http://schemas.openxmlformats.org/drawingml/2006/main">
                    <a:graphicData uri="http://schemas.openxmlformats.org/drawingml/2006/lockedCanvas">
                      <lc:lockedCanvas xmlns:lc="http://schemas.openxmlformats.org/drawingml/2006/lockedCanvas">
                        <a:nvGrpSpPr>
                          <a:cNvPr id="0" name=""/>
                          <a:cNvGrpSpPr/>
                        </a:nvGrpSpPr>
                        <a:grpSpPr>
                          <a:xfrm>
                            <a:off x="133350" y="752475"/>
                            <a:ext cx="4495800" cy="390525"/>
                            <a:chOff x="133350" y="752475"/>
                            <a:chExt cx="4495800" cy="390525"/>
                          </a:xfrm>
                        </a:grpSpPr>
                        <a:sp>
                          <a:nvSpPr>
                            <a:cNvPr id="4" name="Text Box 5"/>
                            <a:cNvSpPr txBox="1">
                              <a:spLocks noChangeArrowheads="1"/>
                            </a:cNvSpPr>
                          </a:nvSpPr>
                          <a:spPr bwMode="auto">
                            <a:xfrm>
                              <a:off x="133350" y="819150"/>
                              <a:ext cx="6838950" cy="485775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a:spPr>
                          <a:txSp>
                            <a:txBody>
                              <a:bodyPr vertOverflow="clip" wrap="square" lIns="27432" tIns="22860" rIns="0" bIns="0" anchor="t" upright="1"/>
                              <a:lstStyle>
                                <a:lvl1pPr marL="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1pPr>
                                <a:lvl2pPr marL="457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2pPr>
                                <a:lvl3pPr marL="914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3pPr>
                                <a:lvl4pPr marL="1371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4pPr>
                                <a:lvl5pPr marL="18288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5pPr>
                                <a:lvl6pPr marL="22860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6pPr>
                                <a:lvl7pPr marL="27432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7pPr>
                                <a:lvl8pPr marL="32004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8pPr>
                                <a:lvl9pPr marL="3657600" indent="0">
                                  <a:defRPr sz="1100">
                                    <a:latin typeface="+mn-lt"/>
                                    <a:ea typeface="+mn-ea"/>
                                    <a:cs typeface="+mn-cs"/>
                                  </a:defRPr>
                                </a:lvl9pPr>
                              </a:lstStyle>
                              <a:p>
                                <a:pPr algn="l" rtl="0">
                                  <a:defRPr sz="1000"/>
                                </a:pPr>
                                <a:r>
                                  <a:rPr lang="pt-BR" sz="900" b="0" i="0" strike="noStrike">
                                    <a:solidFill>
                                      <a:srgbClr val="000000"/>
                                    </a:solidFill>
                                    <a:latin typeface="Abadi MT Condensed Light"/>
                                  </a:rPr>
                                  <a:t>                         A evolução do Patrimônio  Líquido  do  Município  nos  últimos  três  exercícios  encerrados, podemos  observar  um  aumento  ano  a  ano, conforme demonstra  o  quadro abaixo,  verificando  um decréscimo de 2003 para 2004  e um acréscimo de 2004 para 2005, em razão da movimentação do Ativo Permanente. </a:t>
                                </a:r>
                              </a:p>
                            </a:txBody>
                            <a:useSpRect/>
                          </a:txSp>
                        </a:sp>
                      </lc:lockedCanvas>
                    </a:graphicData>
                  </a:graphic>
                </wp:anchor>
              </w:drawing>
            </w:r>
          </w:p>
          <w:tbl>
            <w:tblPr>
              <w:tblW w:w="0" w:type="auto"/>
              <w:tblCellSpacing w:w="0" w:type="dxa"/>
              <w:tblCellMar>
                <w:left w:w="0" w:type="dxa"/>
                <w:right w:w="0" w:type="dxa"/>
              </w:tblCellMar>
              <w:tblLook w:val="04A0"/>
            </w:tblPr>
            <w:tblGrid>
              <w:gridCol w:w="960"/>
            </w:tblGrid>
            <w:tr w:rsidR="00EA5775" w:rsidRPr="00EA5775" w:rsidTr="00645935">
              <w:trPr>
                <w:trHeight w:val="300"/>
                <w:tblCellSpacing w:w="0" w:type="dxa"/>
              </w:trPr>
              <w:tc>
                <w:tcPr>
                  <w:tcW w:w="960" w:type="dxa"/>
                  <w:shd w:val="clear" w:color="auto" w:fill="auto"/>
                  <w:noWrap/>
                  <w:vAlign w:val="bottom"/>
                  <w:hideMark/>
                </w:tcPr>
                <w:p w:rsidR="00EA5775" w:rsidRPr="00EA5775" w:rsidRDefault="00EA5775" w:rsidP="00EA5775">
                  <w:pPr>
                    <w:spacing w:after="0" w:line="240" w:lineRule="auto"/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</w:pPr>
                  <w:r w:rsidRPr="00EA5775">
                    <w:rPr>
                      <w:rFonts w:ascii="Arial" w:eastAsia="Times New Roman" w:hAnsi="Arial" w:cs="Arial"/>
                      <w:sz w:val="20"/>
                      <w:szCs w:val="20"/>
                      <w:lang w:eastAsia="pt-BR"/>
                    </w:rPr>
                    <w:t> </w:t>
                  </w:r>
                </w:p>
              </w:tc>
            </w:tr>
          </w:tbl>
          <w:p w:rsidR="00EA5775" w:rsidRPr="00EA5775" w:rsidRDefault="00EA5775" w:rsidP="00EA5775">
            <w:pPr>
              <w:spacing w:after="0" w:line="240" w:lineRule="auto"/>
              <w:rPr>
                <w:rFonts w:ascii="Calibri" w:eastAsia="Times New Roman" w:hAnsi="Calibri" w:cs="Times New Roman"/>
                <w:color w:val="00000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EA5775" w:rsidRPr="00EA5775" w:rsidTr="00645935">
        <w:trPr>
          <w:trHeight w:val="300"/>
        </w:trPr>
        <w:tc>
          <w:tcPr>
            <w:tcW w:w="239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1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1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</w:p>
        </w:tc>
        <w:tc>
          <w:tcPr>
            <w:tcW w:w="309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EA5775" w:rsidRPr="00EA5775" w:rsidTr="00645935">
        <w:trPr>
          <w:trHeight w:val="300"/>
        </w:trPr>
        <w:tc>
          <w:tcPr>
            <w:tcW w:w="239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1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rial" w:eastAsia="Times New Roman" w:hAnsi="Arial" w:cs="Arial"/>
                <w:sz w:val="20"/>
                <w:szCs w:val="20"/>
                <w:lang w:eastAsia="pt-BR"/>
              </w:rPr>
            </w:pPr>
            <w:r w:rsidRPr="00EA5775">
              <w:rPr>
                <w:rFonts w:ascii="Arial" w:eastAsia="Times New Roman" w:hAnsi="Arial" w:cs="Arial"/>
                <w:sz w:val="20"/>
                <w:szCs w:val="20"/>
                <w:lang w:eastAsia="pt-BR"/>
              </w:rPr>
              <w:t> </w:t>
            </w:r>
          </w:p>
        </w:tc>
      </w:tr>
      <w:tr w:rsidR="00EA5775" w:rsidRPr="00EA5775" w:rsidTr="00645935">
        <w:trPr>
          <w:trHeight w:val="300"/>
        </w:trPr>
        <w:tc>
          <w:tcPr>
            <w:tcW w:w="2949" w:type="dxa"/>
            <w:gridSpan w:val="5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000000" w:fill="CCFFFF"/>
            <w:noWrap/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PATRIMÔNIO LÍQUIDO </w:t>
            </w:r>
          </w:p>
        </w:tc>
        <w:tc>
          <w:tcPr>
            <w:tcW w:w="945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CCFFFF"/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EXERCÍCIOS</w:t>
            </w:r>
          </w:p>
        </w:tc>
      </w:tr>
      <w:tr w:rsidR="00EA5775" w:rsidRPr="00EA5775" w:rsidTr="00EA5775">
        <w:trPr>
          <w:trHeight w:val="300"/>
        </w:trPr>
        <w:tc>
          <w:tcPr>
            <w:tcW w:w="2949" w:type="dxa"/>
            <w:gridSpan w:val="5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</w:p>
        </w:tc>
        <w:tc>
          <w:tcPr>
            <w:tcW w:w="31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2004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vAlign w:val="center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2005</w:t>
            </w:r>
          </w:p>
        </w:tc>
      </w:tr>
      <w:tr w:rsidR="00EA5775" w:rsidRPr="00EA5775" w:rsidTr="00EA5775">
        <w:trPr>
          <w:trHeight w:val="300"/>
        </w:trPr>
        <w:tc>
          <w:tcPr>
            <w:tcW w:w="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SALDO PATRIMONIAL INICIAL</w:t>
            </w:r>
          </w:p>
        </w:tc>
        <w:tc>
          <w:tcPr>
            <w:tcW w:w="31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1.895.208,65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2.075.990,78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1.803.188,37</w:t>
            </w:r>
          </w:p>
        </w:tc>
      </w:tr>
      <w:tr w:rsidR="00EA5775" w:rsidRPr="00EA5775" w:rsidTr="00EA5775">
        <w:trPr>
          <w:trHeight w:val="300"/>
        </w:trPr>
        <w:tc>
          <w:tcPr>
            <w:tcW w:w="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 xml:space="preserve"> RESULTADO DO EXERCÍCIO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180.782,13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(272.802,41)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sz w:val="20"/>
                <w:szCs w:val="20"/>
                <w:lang w:eastAsia="pt-BR"/>
              </w:rPr>
              <w:t>477.268,71</w:t>
            </w:r>
          </w:p>
        </w:tc>
      </w:tr>
      <w:tr w:rsidR="00EA5775" w:rsidRPr="00EA5775" w:rsidTr="00EA5775">
        <w:trPr>
          <w:trHeight w:val="300"/>
        </w:trPr>
        <w:tc>
          <w:tcPr>
            <w:tcW w:w="294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CC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 xml:space="preserve"> SALDO PATRIMONIAL FINAL</w:t>
            </w:r>
          </w:p>
        </w:tc>
        <w:tc>
          <w:tcPr>
            <w:tcW w:w="31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2.075.990,78</w:t>
            </w:r>
          </w:p>
        </w:tc>
        <w:tc>
          <w:tcPr>
            <w:tcW w:w="31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1.803.188,37</w:t>
            </w:r>
          </w:p>
        </w:tc>
        <w:tc>
          <w:tcPr>
            <w:tcW w:w="30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CFFFF"/>
            <w:noWrap/>
            <w:vAlign w:val="bottom"/>
            <w:hideMark/>
          </w:tcPr>
          <w:p w:rsidR="00EA5775" w:rsidRPr="00EA5775" w:rsidRDefault="00EA5775" w:rsidP="00EA5775">
            <w:pPr>
              <w:spacing w:after="0" w:line="240" w:lineRule="auto"/>
              <w:jc w:val="center"/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</w:pPr>
            <w:r w:rsidRPr="00EA5775">
              <w:rPr>
                <w:rFonts w:ascii="Abadi MT Condensed Light" w:eastAsia="Times New Roman" w:hAnsi="Abadi MT Condensed Light" w:cs="Times New Roman"/>
                <w:b/>
                <w:bCs/>
                <w:sz w:val="20"/>
                <w:szCs w:val="20"/>
                <w:lang w:eastAsia="pt-BR"/>
              </w:rPr>
              <w:t>2.280.457,08</w:t>
            </w:r>
          </w:p>
        </w:tc>
      </w:tr>
    </w:tbl>
    <w:p w:rsidR="00E40978" w:rsidRDefault="00E40978"/>
    <w:sectPr w:rsidR="00E40978" w:rsidSect="00EA5775">
      <w:pgSz w:w="16838" w:h="11906" w:orient="landscape"/>
      <w:pgMar w:top="1701" w:right="1418" w:bottom="170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Abadi MT Condensed Ligh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hyphenationZone w:val="425"/>
  <w:characterSpacingControl w:val="doNotCompress"/>
  <w:compat/>
  <w:rsids>
    <w:rsidRoot w:val="00EA5775"/>
    <w:rsid w:val="0038286D"/>
    <w:rsid w:val="00645935"/>
    <w:rsid w:val="00E40978"/>
    <w:rsid w:val="00EA577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40978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52083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66</Words>
  <Characters>358</Characters>
  <Application>Microsoft Office Word</Application>
  <DocSecurity>0</DocSecurity>
  <Lines>2</Lines>
  <Paragraphs>1</Paragraphs>
  <ScaleCrop>false</ScaleCrop>
  <Company/>
  <LinksUpToDate>false</LinksUpToDate>
  <CharactersWithSpaces>423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CONTROLLER</dc:creator>
  <cp:keywords/>
  <dc:description/>
  <cp:lastModifiedBy>CONTROLLER</cp:lastModifiedBy>
  <cp:revision>3</cp:revision>
  <dcterms:created xsi:type="dcterms:W3CDTF">2007-11-12T18:30:00Z</dcterms:created>
  <dcterms:modified xsi:type="dcterms:W3CDTF">2007-11-12T19:26:00Z</dcterms:modified>
</cp:coreProperties>
</file>